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D8F" w:rsidRPr="000A28D0" w:rsidRDefault="003B2FA4" w:rsidP="009057F4">
      <w:pPr>
        <w:spacing w:before="120" w:after="120"/>
        <w:ind w:left="1800"/>
        <w:rPr>
          <w:sz w:val="32"/>
          <w:szCs w:val="32"/>
        </w:rPr>
      </w:pPr>
      <w:r>
        <w:rPr>
          <w:noProof/>
        </w:rPr>
        <w:drawing>
          <wp:anchor distT="0" distB="0" distL="114300" distR="114300" simplePos="0" relativeHeight="251658240" behindDoc="0" locked="0" layoutInCell="1" allowOverlap="1" wp14:anchorId="482592F1" wp14:editId="6482F52D">
            <wp:simplePos x="0" y="0"/>
            <wp:positionH relativeFrom="column">
              <wp:posOffset>-4445</wp:posOffset>
            </wp:positionH>
            <wp:positionV relativeFrom="page">
              <wp:posOffset>981166</wp:posOffset>
            </wp:positionV>
            <wp:extent cx="935355" cy="65278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ST Logo rgb.bmp"/>
                    <pic:cNvPicPr/>
                  </pic:nvPicPr>
                  <pic:blipFill>
                    <a:blip r:embed="rId7" cstate="print">
                      <a:extLst>
                        <a:ext uri="{28A0092B-C50C-407E-A947-70E740481C1C}">
                          <a14:useLocalDpi xmlns:a14="http://schemas.microsoft.com/office/drawing/2010/main" val="0"/>
                        </a:ext>
                      </a:extLst>
                    </a:blip>
                    <a:stretch>
                      <a:fillRect/>
                    </a:stretch>
                  </pic:blipFill>
                  <pic:spPr>
                    <a:xfrm>
                      <a:off x="0" y="0"/>
                      <a:ext cx="935355" cy="652780"/>
                    </a:xfrm>
                    <a:prstGeom prst="rect">
                      <a:avLst/>
                    </a:prstGeom>
                  </pic:spPr>
                </pic:pic>
              </a:graphicData>
            </a:graphic>
            <wp14:sizeRelH relativeFrom="page">
              <wp14:pctWidth>0</wp14:pctWidth>
            </wp14:sizeRelH>
            <wp14:sizeRelV relativeFrom="page">
              <wp14:pctHeight>0</wp14:pctHeight>
            </wp14:sizeRelV>
          </wp:anchor>
        </w:drawing>
      </w:r>
      <w:r w:rsidR="009057F4">
        <w:rPr>
          <w:sz w:val="32"/>
          <w:szCs w:val="32"/>
        </w:rPr>
        <w:t>Wood Framed Seismic Design</w:t>
      </w:r>
    </w:p>
    <w:p w:rsidR="008F7E68" w:rsidRPr="006840DE" w:rsidRDefault="006840DE" w:rsidP="000A28D0">
      <w:pPr>
        <w:pBdr>
          <w:bottom w:val="single" w:sz="6" w:space="1" w:color="auto"/>
        </w:pBdr>
        <w:spacing w:line="360" w:lineRule="auto"/>
        <w:ind w:left="1800"/>
        <w:rPr>
          <w:b/>
          <w:sz w:val="36"/>
          <w:szCs w:val="36"/>
        </w:rPr>
      </w:pPr>
      <w:r w:rsidRPr="006840DE">
        <w:rPr>
          <w:b/>
          <w:sz w:val="36"/>
          <w:szCs w:val="36"/>
        </w:rPr>
        <w:t>Seismic Design Changes in IBC from 2009 to 2012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7668"/>
      </w:tblGrid>
      <w:tr w:rsidR="00602953" w:rsidTr="00602953">
        <w:tc>
          <w:tcPr>
            <w:tcW w:w="1908" w:type="dxa"/>
          </w:tcPr>
          <w:p w:rsidR="00602953" w:rsidRPr="00CB0D9C" w:rsidRDefault="006840DE">
            <w:pPr>
              <w:rPr>
                <w:b/>
              </w:rPr>
            </w:pPr>
            <w:r>
              <w:rPr>
                <w:b/>
              </w:rPr>
              <w:t>Seismic Ground Maps</w:t>
            </w:r>
          </w:p>
        </w:tc>
        <w:tc>
          <w:tcPr>
            <w:tcW w:w="7668" w:type="dxa"/>
          </w:tcPr>
          <w:p w:rsidR="005E63C2" w:rsidRPr="005E63C2" w:rsidRDefault="005E63C2" w:rsidP="005E63C2">
            <w:pPr>
              <w:pStyle w:val="FSMapText"/>
              <w:spacing w:line="288" w:lineRule="auto"/>
              <w:rPr>
                <w:rFonts w:asciiTheme="minorHAnsi" w:hAnsiTheme="minorHAnsi"/>
              </w:rPr>
            </w:pPr>
            <w:r>
              <w:rPr>
                <w:rFonts w:asciiTheme="minorHAnsi" w:hAnsiTheme="minorHAnsi"/>
                <w:noProof/>
              </w:rPr>
              <w:drawing>
                <wp:anchor distT="0" distB="0" distL="114300" distR="114300" simplePos="0" relativeHeight="251659264" behindDoc="0" locked="0" layoutInCell="1" allowOverlap="1">
                  <wp:simplePos x="0" y="0"/>
                  <wp:positionH relativeFrom="column">
                    <wp:posOffset>-3810</wp:posOffset>
                  </wp:positionH>
                  <wp:positionV relativeFrom="paragraph">
                    <wp:posOffset>72390</wp:posOffset>
                  </wp:positionV>
                  <wp:extent cx="2667000" cy="213614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udent_guide_changes_in_ibc_seismic_ground_map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67000" cy="2136140"/>
                          </a:xfrm>
                          <a:prstGeom prst="rect">
                            <a:avLst/>
                          </a:prstGeom>
                        </pic:spPr>
                      </pic:pic>
                    </a:graphicData>
                  </a:graphic>
                  <wp14:sizeRelH relativeFrom="page">
                    <wp14:pctWidth>0</wp14:pctWidth>
                  </wp14:sizeRelH>
                  <wp14:sizeRelV relativeFrom="page">
                    <wp14:pctHeight>0</wp14:pctHeight>
                  </wp14:sizeRelV>
                </wp:anchor>
              </w:drawing>
            </w:r>
            <w:r w:rsidRPr="005E63C2">
              <w:rPr>
                <w:rFonts w:asciiTheme="minorHAnsi" w:hAnsiTheme="minorHAnsi"/>
              </w:rPr>
              <w:t>The seismic ground motion maps have been updated to match ASCE</w:t>
            </w:r>
            <w:r w:rsidR="000E4EEB">
              <w:rPr>
                <w:rFonts w:asciiTheme="minorHAnsi" w:hAnsiTheme="minorHAnsi"/>
              </w:rPr>
              <w:t xml:space="preserve"> </w:t>
            </w:r>
            <w:r w:rsidRPr="005E63C2">
              <w:rPr>
                <w:rFonts w:asciiTheme="minorHAnsi" w:hAnsiTheme="minorHAnsi"/>
              </w:rPr>
              <w:t xml:space="preserve">7-10. The titles of the maps in IBC were revised from “Maximum Considered </w:t>
            </w:r>
            <w:bookmarkStart w:id="0" w:name="_GoBack"/>
            <w:bookmarkEnd w:id="0"/>
            <w:r w:rsidRPr="005E63C2">
              <w:rPr>
                <w:rFonts w:asciiTheme="minorHAnsi" w:hAnsiTheme="minorHAnsi"/>
              </w:rPr>
              <w:t>Earthquake Ground Motion” to “Risk-Targeted Maximum Considered Earthquake (MCER) Ground Motion Response Accelerations” in order to reflect the titles in 2009 NEHRP and ASCE 7-10. As in previous editions, some areas will prove difficult to read due to the contour lines, so the USGS site and GPS coordinates are recommended (</w:t>
            </w:r>
            <w:r w:rsidRPr="005E63C2">
              <w:rPr>
                <w:rFonts w:asciiTheme="minorHAnsi" w:hAnsiTheme="minorHAnsi"/>
                <w:color w:val="4F81BD" w:themeColor="accent1"/>
              </w:rPr>
              <w:t>http://earthquake.usgs.gov</w:t>
            </w:r>
            <w:r w:rsidRPr="005E63C2">
              <w:rPr>
                <w:rFonts w:asciiTheme="minorHAnsi" w:hAnsiTheme="minorHAnsi"/>
              </w:rPr>
              <w:t xml:space="preserve">). Additional information about changes made for 2009 NEHRP is available at </w:t>
            </w:r>
            <w:r w:rsidRPr="005E63C2">
              <w:rPr>
                <w:rFonts w:asciiTheme="minorHAnsi" w:hAnsiTheme="minorHAnsi"/>
                <w:color w:val="4F81BD" w:themeColor="accent1"/>
              </w:rPr>
              <w:t xml:space="preserve">www.nibs.org </w:t>
            </w:r>
            <w:r w:rsidRPr="005E63C2">
              <w:rPr>
                <w:rFonts w:asciiTheme="minorHAnsi" w:hAnsiTheme="minorHAnsi"/>
              </w:rPr>
              <w:t xml:space="preserve">or </w:t>
            </w:r>
            <w:r w:rsidRPr="005E63C2">
              <w:rPr>
                <w:rFonts w:asciiTheme="minorHAnsi" w:hAnsiTheme="minorHAnsi"/>
                <w:color w:val="4F81BD" w:themeColor="accent1"/>
              </w:rPr>
              <w:t>www.bssconline.org</w:t>
            </w:r>
            <w:r w:rsidRPr="005E63C2">
              <w:rPr>
                <w:rFonts w:asciiTheme="minorHAnsi" w:hAnsiTheme="minorHAnsi"/>
              </w:rPr>
              <w:t>.</w:t>
            </w:r>
          </w:p>
        </w:tc>
      </w:tr>
    </w:tbl>
    <w:p w:rsidR="00602953" w:rsidRDefault="00602953" w:rsidP="000A28D0">
      <w:pPr>
        <w:pBdr>
          <w:bottom w:val="single" w:sz="6" w:space="1" w:color="auto"/>
        </w:pBdr>
        <w:ind w:left="180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7668"/>
      </w:tblGrid>
      <w:tr w:rsidR="00602953" w:rsidTr="00176C09">
        <w:tc>
          <w:tcPr>
            <w:tcW w:w="1908" w:type="dxa"/>
          </w:tcPr>
          <w:p w:rsidR="00602953" w:rsidRPr="00E13AE7" w:rsidRDefault="005E63C2" w:rsidP="00176C09">
            <w:pPr>
              <w:rPr>
                <w:b/>
              </w:rPr>
            </w:pPr>
            <w:r>
              <w:rPr>
                <w:b/>
              </w:rPr>
              <w:t>Risk Category</w:t>
            </w:r>
          </w:p>
        </w:tc>
        <w:tc>
          <w:tcPr>
            <w:tcW w:w="7668" w:type="dxa"/>
          </w:tcPr>
          <w:p w:rsidR="00602953" w:rsidRPr="00E13AE7" w:rsidRDefault="005E63C2" w:rsidP="005E63C2">
            <w:pPr>
              <w:pStyle w:val="FSMapText"/>
              <w:spacing w:line="288" w:lineRule="auto"/>
              <w:rPr>
                <w:rFonts w:asciiTheme="minorHAnsi" w:hAnsiTheme="minorHAnsi"/>
              </w:rPr>
            </w:pPr>
            <w:r w:rsidRPr="005E63C2">
              <w:rPr>
                <w:rFonts w:asciiTheme="minorHAnsi" w:hAnsiTheme="minorHAnsi"/>
              </w:rPr>
              <w:t>The term “occupancy category” was replaced with “risk category” in the 2012 IBC for consistency with the term used in ASCE</w:t>
            </w:r>
            <w:r w:rsidR="000E4EEB">
              <w:rPr>
                <w:rFonts w:asciiTheme="minorHAnsi" w:hAnsiTheme="minorHAnsi"/>
              </w:rPr>
              <w:t xml:space="preserve"> </w:t>
            </w:r>
            <w:r w:rsidRPr="005E63C2">
              <w:rPr>
                <w:rFonts w:asciiTheme="minorHAnsi" w:hAnsiTheme="minorHAnsi"/>
              </w:rPr>
              <w:t>7-10. This change was made because it was decided that the use of the word “occupancy” implied the category was directly tied to occupancy classifications in the code, while the word “risk” more accurately communicates that the category is based on acceptable risk of failure.</w:t>
            </w:r>
          </w:p>
        </w:tc>
      </w:tr>
    </w:tbl>
    <w:p w:rsidR="00602953" w:rsidRDefault="00602953" w:rsidP="000A28D0">
      <w:pPr>
        <w:pBdr>
          <w:bottom w:val="single" w:sz="6" w:space="1" w:color="auto"/>
        </w:pBdr>
        <w:ind w:left="1800"/>
      </w:pPr>
    </w:p>
    <w:p w:rsidR="002A0207" w:rsidRDefault="002A0207">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7668"/>
      </w:tblGrid>
      <w:tr w:rsidR="00602953" w:rsidTr="00176C09">
        <w:tc>
          <w:tcPr>
            <w:tcW w:w="1908" w:type="dxa"/>
          </w:tcPr>
          <w:p w:rsidR="00602953" w:rsidRPr="00400742" w:rsidRDefault="004D0E78" w:rsidP="005E63C2">
            <w:pPr>
              <w:rPr>
                <w:b/>
              </w:rPr>
            </w:pPr>
            <w:r>
              <w:lastRenderedPageBreak/>
              <w:br w:type="page"/>
            </w:r>
            <w:r w:rsidR="005E63C2">
              <w:rPr>
                <w:b/>
              </w:rPr>
              <w:t>Factors for Systems and Design</w:t>
            </w:r>
          </w:p>
        </w:tc>
        <w:tc>
          <w:tcPr>
            <w:tcW w:w="7668" w:type="dxa"/>
          </w:tcPr>
          <w:p w:rsidR="00E37469" w:rsidRDefault="002A0207" w:rsidP="00E37469">
            <w:pPr>
              <w:pStyle w:val="FSMapText"/>
              <w:spacing w:line="288" w:lineRule="auto"/>
              <w:ind w:left="72"/>
              <w:rPr>
                <w:rFonts w:asciiTheme="minorHAnsi" w:hAnsiTheme="minorHAnsi"/>
              </w:rPr>
            </w:pPr>
            <w:r w:rsidRPr="002A0207">
              <w:rPr>
                <w:rFonts w:asciiTheme="minorHAnsi" w:hAnsiTheme="minorHAnsi"/>
              </w:rPr>
              <w:t>ASCE</w:t>
            </w:r>
            <w:r w:rsidR="000E4EEB">
              <w:rPr>
                <w:rFonts w:asciiTheme="minorHAnsi" w:hAnsiTheme="minorHAnsi"/>
              </w:rPr>
              <w:t xml:space="preserve"> </w:t>
            </w:r>
            <w:r w:rsidRPr="002A0207">
              <w:rPr>
                <w:rFonts w:asciiTheme="minorHAnsi" w:hAnsiTheme="minorHAnsi"/>
              </w:rPr>
              <w:t>7-10 revised the way designers use the corresponding Drift amplification, C</w:t>
            </w:r>
            <w:r w:rsidRPr="002A0207">
              <w:rPr>
                <w:rFonts w:asciiTheme="minorHAnsi" w:hAnsiTheme="minorHAnsi"/>
                <w:vertAlign w:val="subscript"/>
              </w:rPr>
              <w:t>d</w:t>
            </w:r>
            <w:r w:rsidRPr="002A0207">
              <w:rPr>
                <w:rFonts w:asciiTheme="minorHAnsi" w:hAnsiTheme="minorHAnsi"/>
              </w:rPr>
              <w:t xml:space="preserve">, and </w:t>
            </w:r>
            <w:proofErr w:type="spellStart"/>
            <w:r w:rsidRPr="002A0207">
              <w:rPr>
                <w:rFonts w:asciiTheme="minorHAnsi" w:hAnsiTheme="minorHAnsi"/>
              </w:rPr>
              <w:t>Overstrength</w:t>
            </w:r>
            <w:proofErr w:type="spellEnd"/>
            <w:r w:rsidRPr="002A0207">
              <w:rPr>
                <w:rFonts w:asciiTheme="minorHAnsi" w:hAnsiTheme="minorHAnsi"/>
              </w:rPr>
              <w:t xml:space="preserve"> factor, </w:t>
            </w:r>
            <w:proofErr w:type="spellStart"/>
            <w:r w:rsidRPr="002A0207">
              <w:rPr>
                <w:rFonts w:asciiTheme="minorHAnsi" w:hAnsiTheme="minorHAnsi"/>
              </w:rPr>
              <w:t>Ω</w:t>
            </w:r>
            <w:r w:rsidRPr="002A0207">
              <w:rPr>
                <w:rFonts w:asciiTheme="minorHAnsi" w:hAnsiTheme="minorHAnsi"/>
                <w:vertAlign w:val="subscript"/>
              </w:rPr>
              <w:t>o</w:t>
            </w:r>
            <w:proofErr w:type="spellEnd"/>
            <w:r w:rsidRPr="002A0207">
              <w:rPr>
                <w:rFonts w:asciiTheme="minorHAnsi" w:hAnsiTheme="minorHAnsi"/>
              </w:rPr>
              <w:t>, of the Response modific</w:t>
            </w:r>
            <w:r w:rsidR="00E37469">
              <w:rPr>
                <w:rFonts w:asciiTheme="minorHAnsi" w:hAnsiTheme="minorHAnsi"/>
              </w:rPr>
              <w:t>ation factor, R.</w:t>
            </w:r>
          </w:p>
          <w:p w:rsidR="00E37469" w:rsidRDefault="002A0207" w:rsidP="00E37469">
            <w:pPr>
              <w:pStyle w:val="FSMapText"/>
              <w:spacing w:line="288" w:lineRule="auto"/>
              <w:ind w:left="72"/>
              <w:rPr>
                <w:rFonts w:asciiTheme="minorHAnsi" w:hAnsiTheme="minorHAnsi"/>
              </w:rPr>
            </w:pPr>
            <w:r w:rsidRPr="002A0207">
              <w:rPr>
                <w:rFonts w:asciiTheme="minorHAnsi" w:hAnsiTheme="minorHAnsi"/>
              </w:rPr>
              <w:t>In ASCE</w:t>
            </w:r>
            <w:r w:rsidR="000E4EEB">
              <w:rPr>
                <w:rFonts w:asciiTheme="minorHAnsi" w:hAnsiTheme="minorHAnsi"/>
              </w:rPr>
              <w:t xml:space="preserve"> </w:t>
            </w:r>
            <w:r w:rsidRPr="002A0207">
              <w:rPr>
                <w:rFonts w:asciiTheme="minorHAnsi" w:hAnsiTheme="minorHAnsi"/>
              </w:rPr>
              <w:t>7-05, when there is a vertical combination of different R-values, the C</w:t>
            </w:r>
            <w:r w:rsidRPr="002A0207">
              <w:rPr>
                <w:rFonts w:asciiTheme="minorHAnsi" w:hAnsiTheme="minorHAnsi"/>
                <w:vertAlign w:val="subscript"/>
              </w:rPr>
              <w:t>d</w:t>
            </w:r>
            <w:r w:rsidRPr="002A0207">
              <w:rPr>
                <w:rFonts w:asciiTheme="minorHAnsi" w:hAnsiTheme="minorHAnsi"/>
              </w:rPr>
              <w:t xml:space="preserve">, and </w:t>
            </w:r>
            <w:proofErr w:type="spellStart"/>
            <w:r w:rsidRPr="002A0207">
              <w:rPr>
                <w:rFonts w:asciiTheme="minorHAnsi" w:hAnsiTheme="minorHAnsi"/>
              </w:rPr>
              <w:t>Ω</w:t>
            </w:r>
            <w:r w:rsidRPr="002A0207">
              <w:rPr>
                <w:rFonts w:asciiTheme="minorHAnsi" w:hAnsiTheme="minorHAnsi"/>
                <w:vertAlign w:val="subscript"/>
              </w:rPr>
              <w:t>o</w:t>
            </w:r>
            <w:proofErr w:type="spellEnd"/>
            <w:r w:rsidRPr="002A0207">
              <w:rPr>
                <w:rFonts w:asciiTheme="minorHAnsi" w:hAnsiTheme="minorHAnsi"/>
              </w:rPr>
              <w:t xml:space="preserve"> cannot decrease as you go</w:t>
            </w:r>
            <w:r w:rsidR="00E37469">
              <w:rPr>
                <w:rFonts w:asciiTheme="minorHAnsi" w:hAnsiTheme="minorHAnsi"/>
              </w:rPr>
              <w:t xml:space="preserve"> down each level of a building.</w:t>
            </w:r>
          </w:p>
          <w:p w:rsidR="004D0E78" w:rsidRPr="002A0207" w:rsidRDefault="00E37469" w:rsidP="00E37469">
            <w:pPr>
              <w:pStyle w:val="FSMapText"/>
              <w:spacing w:line="288" w:lineRule="auto"/>
              <w:ind w:left="72"/>
              <w:rPr>
                <w:rFonts w:asciiTheme="minorHAnsi" w:hAnsiTheme="minorHAnsi"/>
              </w:rPr>
            </w:pPr>
            <w:r>
              <w:rPr>
                <w:rFonts w:asciiTheme="minorHAnsi" w:hAnsiTheme="minorHAnsi"/>
                <w:noProof/>
              </w:rPr>
              <w:drawing>
                <wp:anchor distT="0" distB="0" distL="114300" distR="114300" simplePos="0" relativeHeight="251660288" behindDoc="0" locked="0" layoutInCell="1" allowOverlap="1" wp14:anchorId="25705443" wp14:editId="615D5658">
                  <wp:simplePos x="0" y="0"/>
                  <wp:positionH relativeFrom="column">
                    <wp:posOffset>-49530</wp:posOffset>
                  </wp:positionH>
                  <wp:positionV relativeFrom="paragraph">
                    <wp:posOffset>-1004570</wp:posOffset>
                  </wp:positionV>
                  <wp:extent cx="2162175" cy="2123440"/>
                  <wp:effectExtent l="0" t="0" r="9525"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ctors_for_systems_and_design.jpg"/>
                          <pic:cNvPicPr/>
                        </pic:nvPicPr>
                        <pic:blipFill>
                          <a:blip r:embed="rId9">
                            <a:extLst>
                              <a:ext uri="{28A0092B-C50C-407E-A947-70E740481C1C}">
                                <a14:useLocalDpi xmlns:a14="http://schemas.microsoft.com/office/drawing/2010/main" val="0"/>
                              </a:ext>
                            </a:extLst>
                          </a:blip>
                          <a:stretch>
                            <a:fillRect/>
                          </a:stretch>
                        </pic:blipFill>
                        <pic:spPr>
                          <a:xfrm>
                            <a:off x="0" y="0"/>
                            <a:ext cx="2162175" cy="2123440"/>
                          </a:xfrm>
                          <a:prstGeom prst="rect">
                            <a:avLst/>
                          </a:prstGeom>
                        </pic:spPr>
                      </pic:pic>
                    </a:graphicData>
                  </a:graphic>
                  <wp14:sizeRelH relativeFrom="page">
                    <wp14:pctWidth>0</wp14:pctWidth>
                  </wp14:sizeRelH>
                  <wp14:sizeRelV relativeFrom="page">
                    <wp14:pctHeight>0</wp14:pctHeight>
                  </wp14:sizeRelV>
                </wp:anchor>
              </w:drawing>
            </w:r>
            <w:r w:rsidR="002A0207" w:rsidRPr="002A0207">
              <w:rPr>
                <w:rFonts w:asciiTheme="minorHAnsi" w:hAnsiTheme="minorHAnsi"/>
              </w:rPr>
              <w:t>In ASCE</w:t>
            </w:r>
            <w:r w:rsidR="000E4EEB">
              <w:rPr>
                <w:rFonts w:asciiTheme="minorHAnsi" w:hAnsiTheme="minorHAnsi"/>
              </w:rPr>
              <w:t xml:space="preserve"> </w:t>
            </w:r>
            <w:r w:rsidR="002A0207" w:rsidRPr="002A0207">
              <w:rPr>
                <w:rFonts w:asciiTheme="minorHAnsi" w:hAnsiTheme="minorHAnsi"/>
              </w:rPr>
              <w:t>7-10 (12.2.3.1), the C</w:t>
            </w:r>
            <w:r w:rsidR="002A0207" w:rsidRPr="002A0207">
              <w:rPr>
                <w:rFonts w:asciiTheme="minorHAnsi" w:hAnsiTheme="minorHAnsi"/>
                <w:vertAlign w:val="subscript"/>
              </w:rPr>
              <w:t>d</w:t>
            </w:r>
            <w:r w:rsidR="002A0207" w:rsidRPr="002A0207">
              <w:rPr>
                <w:rFonts w:asciiTheme="minorHAnsi" w:hAnsiTheme="minorHAnsi"/>
              </w:rPr>
              <w:t xml:space="preserve"> and </w:t>
            </w:r>
            <w:proofErr w:type="spellStart"/>
            <w:r w:rsidR="002A0207" w:rsidRPr="002A0207">
              <w:rPr>
                <w:rFonts w:asciiTheme="minorHAnsi" w:hAnsiTheme="minorHAnsi"/>
              </w:rPr>
              <w:t>Ω</w:t>
            </w:r>
            <w:r w:rsidR="002A0207" w:rsidRPr="002A0207">
              <w:rPr>
                <w:rFonts w:asciiTheme="minorHAnsi" w:hAnsiTheme="minorHAnsi"/>
                <w:vertAlign w:val="subscript"/>
              </w:rPr>
              <w:t>o</w:t>
            </w:r>
            <w:proofErr w:type="spellEnd"/>
            <w:r w:rsidR="002A0207" w:rsidRPr="002A0207">
              <w:rPr>
                <w:rFonts w:asciiTheme="minorHAnsi" w:hAnsiTheme="minorHAnsi"/>
              </w:rPr>
              <w:t xml:space="preserve"> always correspond to the R-Value as you go down. The adjacent figure illustrates the new provision to use the corresponding C</w:t>
            </w:r>
            <w:r w:rsidR="002A0207" w:rsidRPr="002A0207">
              <w:rPr>
                <w:rFonts w:asciiTheme="minorHAnsi" w:hAnsiTheme="minorHAnsi"/>
                <w:vertAlign w:val="subscript"/>
              </w:rPr>
              <w:t>d</w:t>
            </w:r>
            <w:r w:rsidR="002A0207" w:rsidRPr="002A0207">
              <w:rPr>
                <w:rFonts w:asciiTheme="minorHAnsi" w:hAnsiTheme="minorHAnsi"/>
              </w:rPr>
              <w:t xml:space="preserve">, and </w:t>
            </w:r>
            <w:proofErr w:type="spellStart"/>
            <w:r w:rsidR="002A0207" w:rsidRPr="002A0207">
              <w:rPr>
                <w:rFonts w:asciiTheme="minorHAnsi" w:hAnsiTheme="minorHAnsi"/>
              </w:rPr>
              <w:t>Ω</w:t>
            </w:r>
            <w:r w:rsidR="002A0207" w:rsidRPr="002A0207">
              <w:rPr>
                <w:rFonts w:asciiTheme="minorHAnsi" w:hAnsiTheme="minorHAnsi"/>
                <w:vertAlign w:val="subscript"/>
              </w:rPr>
              <w:t>o</w:t>
            </w:r>
            <w:proofErr w:type="spellEnd"/>
            <w:r w:rsidR="002A0207" w:rsidRPr="002A0207">
              <w:rPr>
                <w:rFonts w:asciiTheme="minorHAnsi" w:hAnsiTheme="minorHAnsi"/>
              </w:rPr>
              <w:t xml:space="preserve"> with the R-value at each level.</w:t>
            </w:r>
          </w:p>
        </w:tc>
      </w:tr>
    </w:tbl>
    <w:p w:rsidR="00602953" w:rsidRDefault="00602953" w:rsidP="000A28D0">
      <w:pPr>
        <w:pBdr>
          <w:bottom w:val="single" w:sz="6" w:space="1" w:color="auto"/>
        </w:pBdr>
        <w:ind w:left="180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7668"/>
      </w:tblGrid>
      <w:tr w:rsidR="00602953" w:rsidTr="00176C09">
        <w:tc>
          <w:tcPr>
            <w:tcW w:w="1908" w:type="dxa"/>
          </w:tcPr>
          <w:p w:rsidR="00602953" w:rsidRPr="00400742" w:rsidRDefault="008B5580" w:rsidP="00176C09">
            <w:pPr>
              <w:rPr>
                <w:b/>
              </w:rPr>
            </w:pPr>
            <w:r>
              <w:rPr>
                <w:b/>
              </w:rPr>
              <w:t>Clarification for Out-of-Plane Anchorage Forces</w:t>
            </w:r>
          </w:p>
        </w:tc>
        <w:tc>
          <w:tcPr>
            <w:tcW w:w="7668" w:type="dxa"/>
          </w:tcPr>
          <w:p w:rsidR="0034181F" w:rsidRPr="00E37469" w:rsidRDefault="00E37469" w:rsidP="00E37469">
            <w:pPr>
              <w:pStyle w:val="FSMapText"/>
              <w:spacing w:line="288" w:lineRule="auto"/>
              <w:rPr>
                <w:rFonts w:asciiTheme="minorHAnsi" w:hAnsiTheme="minorHAnsi"/>
                <w:color w:val="auto"/>
              </w:rPr>
            </w:pPr>
            <w:r w:rsidRPr="00E37469">
              <w:rPr>
                <w:rFonts w:asciiTheme="minorHAnsi" w:hAnsiTheme="minorHAnsi" w:cs="Helvetica"/>
                <w:color w:val="auto"/>
              </w:rPr>
              <w:t>ASCE</w:t>
            </w:r>
            <w:r w:rsidR="000E4EEB">
              <w:rPr>
                <w:rFonts w:asciiTheme="minorHAnsi" w:hAnsiTheme="minorHAnsi" w:cs="Helvetica"/>
                <w:color w:val="auto"/>
              </w:rPr>
              <w:t xml:space="preserve"> </w:t>
            </w:r>
            <w:r w:rsidRPr="00E37469">
              <w:rPr>
                <w:rFonts w:asciiTheme="minorHAnsi" w:hAnsiTheme="minorHAnsi" w:cs="Helvetica"/>
                <w:color w:val="auto"/>
              </w:rPr>
              <w:t>7-10 (12.3.4.1) added a clarification for out-of-plane anchorage forces where the redundancy factor, p = 1.0.  The intent of the redundancy factor was to ensure the vertical seismic-resisting system with insufficient redundancy had adequate strength. The design forces for out-of-plane wall loading are not redundancy requirements. ASCE</w:t>
            </w:r>
            <w:r w:rsidR="000E4EEB">
              <w:rPr>
                <w:rFonts w:asciiTheme="minorHAnsi" w:hAnsiTheme="minorHAnsi" w:cs="Helvetica"/>
                <w:color w:val="auto"/>
              </w:rPr>
              <w:t xml:space="preserve"> </w:t>
            </w:r>
            <w:r w:rsidRPr="00E37469">
              <w:rPr>
                <w:rFonts w:asciiTheme="minorHAnsi" w:hAnsiTheme="minorHAnsi" w:cs="Helvetica"/>
                <w:color w:val="auto"/>
              </w:rPr>
              <w:t>7-10 (12.11.12) revised the out-of-plane wall anchorage force equation where the anchorage forces are reduced for shorter diaphragm spans.</w:t>
            </w:r>
          </w:p>
        </w:tc>
      </w:tr>
    </w:tbl>
    <w:p w:rsidR="00602953" w:rsidRDefault="00602953" w:rsidP="000A28D0">
      <w:pPr>
        <w:pBdr>
          <w:bottom w:val="single" w:sz="6" w:space="1" w:color="auto"/>
        </w:pBdr>
        <w:ind w:left="180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7668"/>
      </w:tblGrid>
      <w:tr w:rsidR="003B2FA4" w:rsidTr="008B5580">
        <w:tc>
          <w:tcPr>
            <w:tcW w:w="1908" w:type="dxa"/>
          </w:tcPr>
          <w:p w:rsidR="00602953" w:rsidRPr="00400742" w:rsidRDefault="00E37469" w:rsidP="00176C09">
            <w:pPr>
              <w:rPr>
                <w:b/>
              </w:rPr>
            </w:pPr>
            <w:r>
              <w:rPr>
                <w:b/>
              </w:rPr>
              <w:t>Amplification of Accidental Torsion</w:t>
            </w:r>
          </w:p>
        </w:tc>
        <w:tc>
          <w:tcPr>
            <w:tcW w:w="7668" w:type="dxa"/>
          </w:tcPr>
          <w:p w:rsidR="006B21AD" w:rsidRPr="00ED2CD5" w:rsidRDefault="00ED2CD5" w:rsidP="00ED2CD5">
            <w:pPr>
              <w:pStyle w:val="FSMapText"/>
              <w:spacing w:line="288" w:lineRule="auto"/>
              <w:rPr>
                <w:rFonts w:asciiTheme="minorHAnsi" w:hAnsiTheme="minorHAnsi"/>
                <w:color w:val="auto"/>
              </w:rPr>
            </w:pPr>
            <w:r w:rsidRPr="00ED2CD5">
              <w:rPr>
                <w:rFonts w:asciiTheme="minorHAnsi" w:hAnsiTheme="minorHAnsi"/>
                <w:color w:val="auto"/>
              </w:rPr>
              <w:t>Light-frame construction structures are no longer exempt from amplification of accidental torsion in ASCE</w:t>
            </w:r>
            <w:r w:rsidR="000E4EEB">
              <w:rPr>
                <w:rFonts w:asciiTheme="minorHAnsi" w:hAnsiTheme="minorHAnsi"/>
                <w:color w:val="auto"/>
              </w:rPr>
              <w:t xml:space="preserve"> </w:t>
            </w:r>
            <w:r w:rsidRPr="00ED2CD5">
              <w:rPr>
                <w:rFonts w:asciiTheme="minorHAnsi" w:hAnsiTheme="minorHAnsi"/>
                <w:color w:val="auto"/>
              </w:rPr>
              <w:t>7-10 (12.8.4.3).  There are many structures vulnerable to torsional effects including some “tuck under” parking buildings that are often light-frame struct</w:t>
            </w:r>
            <w:r>
              <w:rPr>
                <w:rFonts w:asciiTheme="minorHAnsi" w:hAnsiTheme="minorHAnsi"/>
                <w:color w:val="auto"/>
              </w:rPr>
              <w:t>ures.</w:t>
            </w:r>
          </w:p>
        </w:tc>
      </w:tr>
    </w:tbl>
    <w:p w:rsidR="007C18D6" w:rsidRDefault="007C18D6" w:rsidP="00ED2CD5">
      <w:pPr>
        <w:pBdr>
          <w:bottom w:val="single" w:sz="6" w:space="1" w:color="auto"/>
        </w:pBdr>
        <w:ind w:left="1800"/>
      </w:pPr>
    </w:p>
    <w:p w:rsidR="007C18D6" w:rsidRDefault="007C18D6" w:rsidP="007C18D6"/>
    <w:p w:rsidR="00304D89" w:rsidRPr="007C18D6" w:rsidRDefault="007C18D6" w:rsidP="007C18D6">
      <w:pPr>
        <w:jc w:val="center"/>
        <w:rPr>
          <w:rStyle w:val="SubtleEmphasis"/>
        </w:rPr>
      </w:pPr>
      <w:r w:rsidRPr="007C18D6">
        <w:rPr>
          <w:rStyle w:val="SubtleEmphasis"/>
        </w:rPr>
        <w:t>Conte</w:t>
      </w:r>
      <w:r w:rsidR="00684F89">
        <w:rPr>
          <w:rStyle w:val="SubtleEmphasis"/>
        </w:rPr>
        <w:t>nt written by Damon Ho, posted o</w:t>
      </w:r>
      <w:r w:rsidRPr="007C18D6">
        <w:rPr>
          <w:rStyle w:val="SubtleEmphasis"/>
        </w:rPr>
        <w:t>n the Simpson Strong-Tie Structu</w:t>
      </w:r>
      <w:r>
        <w:rPr>
          <w:rStyle w:val="SubtleEmphasis"/>
        </w:rPr>
        <w:t>ral Engineering Blog at</w:t>
      </w:r>
      <w:r w:rsidRPr="007C18D6">
        <w:rPr>
          <w:rStyle w:val="SubtleEmphasis"/>
        </w:rPr>
        <w:t>: http://seblog.strongtie.com/2014/09/changes-in-ibc-from-2009-to-2012-seismic-design/</w:t>
      </w:r>
    </w:p>
    <w:sectPr w:rsidR="00304D89" w:rsidRPr="007C18D6">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6853" w:rsidRDefault="000A6853" w:rsidP="000A28D0">
      <w:pPr>
        <w:spacing w:after="0" w:line="240" w:lineRule="auto"/>
      </w:pPr>
      <w:r>
        <w:separator/>
      </w:r>
    </w:p>
  </w:endnote>
  <w:endnote w:type="continuationSeparator" w:id="0">
    <w:p w:rsidR="000A6853" w:rsidRDefault="000A6853" w:rsidP="000A2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8D0" w:rsidRDefault="000A28D0">
    <w:pPr>
      <w:pStyle w:val="Footer"/>
      <w:pBdr>
        <w:bottom w:val="single" w:sz="6" w:space="1" w:color="auto"/>
      </w:pBdr>
    </w:pPr>
  </w:p>
  <w:p w:rsidR="000A28D0" w:rsidRDefault="000A28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6853" w:rsidRDefault="000A6853" w:rsidP="000A28D0">
      <w:pPr>
        <w:spacing w:after="0" w:line="240" w:lineRule="auto"/>
      </w:pPr>
      <w:r>
        <w:separator/>
      </w:r>
    </w:p>
  </w:footnote>
  <w:footnote w:type="continuationSeparator" w:id="0">
    <w:p w:rsidR="000A6853" w:rsidRDefault="000A6853" w:rsidP="000A28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211" w:rsidRDefault="00D11211" w:rsidP="00D11211">
    <w:pPr>
      <w:pStyle w:val="Header"/>
      <w:pBdr>
        <w:bottom w:val="single" w:sz="6" w:space="1" w:color="auto"/>
      </w:pBdr>
      <w:rPr>
        <w:sz w:val="18"/>
        <w:szCs w:val="18"/>
      </w:rPr>
    </w:pPr>
    <w:r>
      <w:rPr>
        <w:sz w:val="18"/>
        <w:szCs w:val="18"/>
      </w:rPr>
      <w:t>Wood Framed Seismic Design</w:t>
    </w:r>
  </w:p>
  <w:p w:rsidR="000A28D0" w:rsidRPr="001A3AC6" w:rsidRDefault="00A46AA0">
    <w:pPr>
      <w:pStyle w:val="Header"/>
      <w:pBdr>
        <w:bottom w:val="single" w:sz="6" w:space="1" w:color="auto"/>
      </w:pBdr>
      <w:rPr>
        <w:sz w:val="18"/>
        <w:szCs w:val="18"/>
      </w:rPr>
    </w:pPr>
    <w:r>
      <w:rPr>
        <w:sz w:val="18"/>
        <w:szCs w:val="18"/>
      </w:rPr>
      <w:t>Seismic Design Changes in IBC from 2009 to 2012</w:t>
    </w:r>
  </w:p>
  <w:p w:rsidR="000A28D0" w:rsidRDefault="000A28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75593"/>
    <w:multiLevelType w:val="hybridMultilevel"/>
    <w:tmpl w:val="4CD048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036551"/>
    <w:multiLevelType w:val="hybridMultilevel"/>
    <w:tmpl w:val="3EEA2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D43DD"/>
    <w:multiLevelType w:val="hybridMultilevel"/>
    <w:tmpl w:val="853E2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974E96"/>
    <w:multiLevelType w:val="hybridMultilevel"/>
    <w:tmpl w:val="EC08B4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460E1682">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22063A6"/>
    <w:multiLevelType w:val="hybridMultilevel"/>
    <w:tmpl w:val="8FBCB6E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C087170"/>
    <w:multiLevelType w:val="hybridMultilevel"/>
    <w:tmpl w:val="3AA07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460E168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E476EF"/>
    <w:multiLevelType w:val="hybridMultilevel"/>
    <w:tmpl w:val="03AADCE4"/>
    <w:lvl w:ilvl="0" w:tplc="04090001">
      <w:start w:val="1"/>
      <w:numFmt w:val="bullet"/>
      <w:lvlText w:val=""/>
      <w:lvlJc w:val="left"/>
      <w:pPr>
        <w:tabs>
          <w:tab w:val="num" w:pos="360"/>
        </w:tabs>
        <w:ind w:left="360" w:hanging="18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8955D37"/>
    <w:multiLevelType w:val="hybridMultilevel"/>
    <w:tmpl w:val="193A4F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460E1682">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15E04E2"/>
    <w:multiLevelType w:val="hybridMultilevel"/>
    <w:tmpl w:val="19A4F04A"/>
    <w:lvl w:ilvl="0" w:tplc="EC08A90E">
      <w:start w:val="1"/>
      <w:numFmt w:val="bullet"/>
      <w:lvlText w:val="•"/>
      <w:lvlJc w:val="left"/>
      <w:pPr>
        <w:tabs>
          <w:tab w:val="num" w:pos="720"/>
        </w:tabs>
        <w:ind w:left="720" w:hanging="360"/>
      </w:pPr>
      <w:rPr>
        <w:rFonts w:ascii="Times New Roman" w:hAnsi="Times New Roman" w:hint="default"/>
      </w:rPr>
    </w:lvl>
    <w:lvl w:ilvl="1" w:tplc="FEA242BA" w:tentative="1">
      <w:start w:val="1"/>
      <w:numFmt w:val="bullet"/>
      <w:lvlText w:val="•"/>
      <w:lvlJc w:val="left"/>
      <w:pPr>
        <w:tabs>
          <w:tab w:val="num" w:pos="1440"/>
        </w:tabs>
        <w:ind w:left="1440" w:hanging="360"/>
      </w:pPr>
      <w:rPr>
        <w:rFonts w:ascii="Times New Roman" w:hAnsi="Times New Roman" w:hint="default"/>
      </w:rPr>
    </w:lvl>
    <w:lvl w:ilvl="2" w:tplc="479C7AD4" w:tentative="1">
      <w:start w:val="1"/>
      <w:numFmt w:val="bullet"/>
      <w:lvlText w:val="•"/>
      <w:lvlJc w:val="left"/>
      <w:pPr>
        <w:tabs>
          <w:tab w:val="num" w:pos="2160"/>
        </w:tabs>
        <w:ind w:left="2160" w:hanging="360"/>
      </w:pPr>
      <w:rPr>
        <w:rFonts w:ascii="Times New Roman" w:hAnsi="Times New Roman" w:hint="default"/>
      </w:rPr>
    </w:lvl>
    <w:lvl w:ilvl="3" w:tplc="BA42F9FC" w:tentative="1">
      <w:start w:val="1"/>
      <w:numFmt w:val="bullet"/>
      <w:lvlText w:val="•"/>
      <w:lvlJc w:val="left"/>
      <w:pPr>
        <w:tabs>
          <w:tab w:val="num" w:pos="2880"/>
        </w:tabs>
        <w:ind w:left="2880" w:hanging="360"/>
      </w:pPr>
      <w:rPr>
        <w:rFonts w:ascii="Times New Roman" w:hAnsi="Times New Roman" w:hint="default"/>
      </w:rPr>
    </w:lvl>
    <w:lvl w:ilvl="4" w:tplc="04AEE2B4" w:tentative="1">
      <w:start w:val="1"/>
      <w:numFmt w:val="bullet"/>
      <w:lvlText w:val="•"/>
      <w:lvlJc w:val="left"/>
      <w:pPr>
        <w:tabs>
          <w:tab w:val="num" w:pos="3600"/>
        </w:tabs>
        <w:ind w:left="3600" w:hanging="360"/>
      </w:pPr>
      <w:rPr>
        <w:rFonts w:ascii="Times New Roman" w:hAnsi="Times New Roman" w:hint="default"/>
      </w:rPr>
    </w:lvl>
    <w:lvl w:ilvl="5" w:tplc="D0586682" w:tentative="1">
      <w:start w:val="1"/>
      <w:numFmt w:val="bullet"/>
      <w:lvlText w:val="•"/>
      <w:lvlJc w:val="left"/>
      <w:pPr>
        <w:tabs>
          <w:tab w:val="num" w:pos="4320"/>
        </w:tabs>
        <w:ind w:left="4320" w:hanging="360"/>
      </w:pPr>
      <w:rPr>
        <w:rFonts w:ascii="Times New Roman" w:hAnsi="Times New Roman" w:hint="default"/>
      </w:rPr>
    </w:lvl>
    <w:lvl w:ilvl="6" w:tplc="03E0F532" w:tentative="1">
      <w:start w:val="1"/>
      <w:numFmt w:val="bullet"/>
      <w:lvlText w:val="•"/>
      <w:lvlJc w:val="left"/>
      <w:pPr>
        <w:tabs>
          <w:tab w:val="num" w:pos="5040"/>
        </w:tabs>
        <w:ind w:left="5040" w:hanging="360"/>
      </w:pPr>
      <w:rPr>
        <w:rFonts w:ascii="Times New Roman" w:hAnsi="Times New Roman" w:hint="default"/>
      </w:rPr>
    </w:lvl>
    <w:lvl w:ilvl="7" w:tplc="2F88041C" w:tentative="1">
      <w:start w:val="1"/>
      <w:numFmt w:val="bullet"/>
      <w:lvlText w:val="•"/>
      <w:lvlJc w:val="left"/>
      <w:pPr>
        <w:tabs>
          <w:tab w:val="num" w:pos="5760"/>
        </w:tabs>
        <w:ind w:left="5760" w:hanging="360"/>
      </w:pPr>
      <w:rPr>
        <w:rFonts w:ascii="Times New Roman" w:hAnsi="Times New Roman" w:hint="default"/>
      </w:rPr>
    </w:lvl>
    <w:lvl w:ilvl="8" w:tplc="27E49CEC" w:tentative="1">
      <w:start w:val="1"/>
      <w:numFmt w:val="bullet"/>
      <w:lvlText w:val="•"/>
      <w:lvlJc w:val="left"/>
      <w:pPr>
        <w:tabs>
          <w:tab w:val="num" w:pos="6480"/>
        </w:tabs>
        <w:ind w:left="6480" w:hanging="360"/>
      </w:pPr>
      <w:rPr>
        <w:rFonts w:ascii="Times New Roman" w:hAnsi="Times New Roman" w:hint="default"/>
      </w:rPr>
    </w:lvl>
  </w:abstractNum>
  <w:abstractNum w:abstractNumId="9">
    <w:nsid w:val="4451252E"/>
    <w:multiLevelType w:val="hybridMultilevel"/>
    <w:tmpl w:val="D960F2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2C32916"/>
    <w:multiLevelType w:val="hybridMultilevel"/>
    <w:tmpl w:val="D2A49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DB3D68"/>
    <w:multiLevelType w:val="hybridMultilevel"/>
    <w:tmpl w:val="CE344B62"/>
    <w:lvl w:ilvl="0" w:tplc="EB7C7630">
      <w:start w:val="1"/>
      <w:numFmt w:val="bullet"/>
      <w:lvlText w:val=""/>
      <w:lvlJc w:val="left"/>
      <w:pPr>
        <w:tabs>
          <w:tab w:val="num" w:pos="173"/>
        </w:tabs>
        <w:ind w:left="173" w:hanging="17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D8D6A22"/>
    <w:multiLevelType w:val="hybridMultilevel"/>
    <w:tmpl w:val="EAA8E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F7C0D47"/>
    <w:multiLevelType w:val="hybridMultilevel"/>
    <w:tmpl w:val="2EE6ADD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460E168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4"/>
  </w:num>
  <w:num w:numId="4">
    <w:abstractNumId w:val="0"/>
  </w:num>
  <w:num w:numId="5">
    <w:abstractNumId w:val="13"/>
  </w:num>
  <w:num w:numId="6">
    <w:abstractNumId w:val="5"/>
  </w:num>
  <w:num w:numId="7">
    <w:abstractNumId w:val="7"/>
  </w:num>
  <w:num w:numId="8">
    <w:abstractNumId w:val="11"/>
  </w:num>
  <w:num w:numId="9">
    <w:abstractNumId w:val="9"/>
  </w:num>
  <w:num w:numId="10">
    <w:abstractNumId w:val="12"/>
  </w:num>
  <w:num w:numId="11">
    <w:abstractNumId w:val="1"/>
  </w:num>
  <w:num w:numId="12">
    <w:abstractNumId w:val="2"/>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953"/>
    <w:rsid w:val="00043F7D"/>
    <w:rsid w:val="000647C5"/>
    <w:rsid w:val="000A28D0"/>
    <w:rsid w:val="000A6853"/>
    <w:rsid w:val="000E4EEB"/>
    <w:rsid w:val="00104527"/>
    <w:rsid w:val="001579EE"/>
    <w:rsid w:val="001A3AC6"/>
    <w:rsid w:val="002A0207"/>
    <w:rsid w:val="00304D89"/>
    <w:rsid w:val="0034181F"/>
    <w:rsid w:val="0036192C"/>
    <w:rsid w:val="003B2FA4"/>
    <w:rsid w:val="003B47E2"/>
    <w:rsid w:val="00400742"/>
    <w:rsid w:val="004173CC"/>
    <w:rsid w:val="004D0E78"/>
    <w:rsid w:val="005C7EE4"/>
    <w:rsid w:val="005E63C2"/>
    <w:rsid w:val="005F02DF"/>
    <w:rsid w:val="00602953"/>
    <w:rsid w:val="0065185D"/>
    <w:rsid w:val="00671323"/>
    <w:rsid w:val="006840DE"/>
    <w:rsid w:val="00684F89"/>
    <w:rsid w:val="006B21AD"/>
    <w:rsid w:val="007A684B"/>
    <w:rsid w:val="007C18D6"/>
    <w:rsid w:val="007D5074"/>
    <w:rsid w:val="008A24DB"/>
    <w:rsid w:val="008B5580"/>
    <w:rsid w:val="008F7E68"/>
    <w:rsid w:val="009057F4"/>
    <w:rsid w:val="00987F06"/>
    <w:rsid w:val="00A46AA0"/>
    <w:rsid w:val="00AB1460"/>
    <w:rsid w:val="00B87357"/>
    <w:rsid w:val="00BF7EAA"/>
    <w:rsid w:val="00C05E6F"/>
    <w:rsid w:val="00C54D27"/>
    <w:rsid w:val="00CB0D9C"/>
    <w:rsid w:val="00D11211"/>
    <w:rsid w:val="00D235D3"/>
    <w:rsid w:val="00D26F3A"/>
    <w:rsid w:val="00E03477"/>
    <w:rsid w:val="00E04A70"/>
    <w:rsid w:val="00E13AE7"/>
    <w:rsid w:val="00E37469"/>
    <w:rsid w:val="00EC6F33"/>
    <w:rsid w:val="00ED2CD5"/>
    <w:rsid w:val="00EE0469"/>
    <w:rsid w:val="00F03D97"/>
    <w:rsid w:val="00F71027"/>
    <w:rsid w:val="00FE5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7BDCAA-1A9F-44D0-B70D-6A7278A85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029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SBullet1">
    <w:name w:val="_FS Bullet 1"/>
    <w:basedOn w:val="Normal"/>
    <w:link w:val="FSBullet1Char"/>
    <w:qFormat/>
    <w:rsid w:val="00CB0D9C"/>
    <w:pPr>
      <w:spacing w:after="120" w:line="240" w:lineRule="auto"/>
    </w:pPr>
    <w:rPr>
      <w:rFonts w:ascii="Arial" w:eastAsia="Times New Roman" w:hAnsi="Arial" w:cs="Arial"/>
      <w:color w:val="000000"/>
      <w:szCs w:val="20"/>
    </w:rPr>
  </w:style>
  <w:style w:type="paragraph" w:customStyle="1" w:styleId="FSBullet2">
    <w:name w:val="_FS Bullet 2"/>
    <w:basedOn w:val="Normal"/>
    <w:link w:val="FSBullet2Char"/>
    <w:qFormat/>
    <w:rsid w:val="00CB0D9C"/>
    <w:pPr>
      <w:spacing w:after="120" w:line="240" w:lineRule="auto"/>
    </w:pPr>
    <w:rPr>
      <w:rFonts w:ascii="Arial" w:eastAsia="Times New Roman" w:hAnsi="Arial" w:cs="Arial"/>
      <w:color w:val="000000"/>
      <w:szCs w:val="20"/>
    </w:rPr>
  </w:style>
  <w:style w:type="character" w:customStyle="1" w:styleId="FSBullet1Char">
    <w:name w:val="_FS Bullet 1 Char"/>
    <w:basedOn w:val="DefaultParagraphFont"/>
    <w:link w:val="FSBullet1"/>
    <w:rsid w:val="00CB0D9C"/>
    <w:rPr>
      <w:rFonts w:ascii="Arial" w:eastAsia="Times New Roman" w:hAnsi="Arial" w:cs="Arial"/>
      <w:color w:val="000000"/>
      <w:szCs w:val="20"/>
    </w:rPr>
  </w:style>
  <w:style w:type="character" w:customStyle="1" w:styleId="FSBullet2Char">
    <w:name w:val="_FS Bullet 2 Char"/>
    <w:basedOn w:val="DefaultParagraphFont"/>
    <w:link w:val="FSBullet2"/>
    <w:rsid w:val="00CB0D9C"/>
    <w:rPr>
      <w:rFonts w:ascii="Arial" w:eastAsia="Times New Roman" w:hAnsi="Arial" w:cs="Arial"/>
      <w:color w:val="000000"/>
      <w:szCs w:val="20"/>
    </w:rPr>
  </w:style>
  <w:style w:type="paragraph" w:customStyle="1" w:styleId="FSMapText">
    <w:name w:val="_FS Map Text"/>
    <w:basedOn w:val="BlockText"/>
    <w:link w:val="FSMapTextChar"/>
    <w:qFormat/>
    <w:rsid w:val="00CB0D9C"/>
    <w:pPr>
      <w:pBdr>
        <w:top w:val="none" w:sz="0" w:space="0" w:color="auto"/>
        <w:left w:val="none" w:sz="0" w:space="0" w:color="auto"/>
        <w:bottom w:val="none" w:sz="0" w:space="0" w:color="auto"/>
        <w:right w:val="none" w:sz="0" w:space="0" w:color="auto"/>
      </w:pBdr>
      <w:spacing w:before="120" w:after="120" w:line="240" w:lineRule="auto"/>
      <w:ind w:left="0" w:right="0"/>
    </w:pPr>
    <w:rPr>
      <w:rFonts w:ascii="Arial" w:eastAsia="Times New Roman" w:hAnsi="Arial" w:cs="Arial"/>
      <w:i w:val="0"/>
      <w:iCs w:val="0"/>
      <w:color w:val="000000"/>
    </w:rPr>
  </w:style>
  <w:style w:type="character" w:customStyle="1" w:styleId="FSMapTextChar">
    <w:name w:val="_FS Map Text Char"/>
    <w:basedOn w:val="DefaultParagraphFont"/>
    <w:link w:val="FSMapText"/>
    <w:rsid w:val="00CB0D9C"/>
    <w:rPr>
      <w:rFonts w:ascii="Arial" w:eastAsia="Times New Roman" w:hAnsi="Arial" w:cs="Arial"/>
      <w:color w:val="000000"/>
    </w:rPr>
  </w:style>
  <w:style w:type="paragraph" w:styleId="BlockText">
    <w:name w:val="Block Text"/>
    <w:basedOn w:val="Normal"/>
    <w:uiPriority w:val="99"/>
    <w:semiHidden/>
    <w:unhideWhenUsed/>
    <w:rsid w:val="00CB0D9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Header">
    <w:name w:val="header"/>
    <w:basedOn w:val="Normal"/>
    <w:link w:val="HeaderChar"/>
    <w:uiPriority w:val="99"/>
    <w:unhideWhenUsed/>
    <w:rsid w:val="000A28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28D0"/>
  </w:style>
  <w:style w:type="paragraph" w:styleId="Footer">
    <w:name w:val="footer"/>
    <w:basedOn w:val="Normal"/>
    <w:link w:val="FooterChar"/>
    <w:uiPriority w:val="99"/>
    <w:unhideWhenUsed/>
    <w:rsid w:val="000A28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28D0"/>
  </w:style>
  <w:style w:type="paragraph" w:styleId="BalloonText">
    <w:name w:val="Balloon Text"/>
    <w:basedOn w:val="Normal"/>
    <w:link w:val="BalloonTextChar"/>
    <w:uiPriority w:val="99"/>
    <w:semiHidden/>
    <w:unhideWhenUsed/>
    <w:rsid w:val="003B47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7E2"/>
    <w:rPr>
      <w:rFonts w:ascii="Tahoma" w:hAnsi="Tahoma" w:cs="Tahoma"/>
      <w:sz w:val="16"/>
      <w:szCs w:val="16"/>
    </w:rPr>
  </w:style>
  <w:style w:type="paragraph" w:styleId="ListParagraph">
    <w:name w:val="List Paragraph"/>
    <w:basedOn w:val="Normal"/>
    <w:uiPriority w:val="34"/>
    <w:qFormat/>
    <w:rsid w:val="006B21AD"/>
    <w:pPr>
      <w:ind w:left="720"/>
      <w:contextualSpacing/>
    </w:pPr>
  </w:style>
  <w:style w:type="character" w:styleId="SubtleEmphasis">
    <w:name w:val="Subtle Emphasis"/>
    <w:basedOn w:val="DefaultParagraphFont"/>
    <w:uiPriority w:val="19"/>
    <w:qFormat/>
    <w:rsid w:val="007C18D6"/>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941068">
      <w:bodyDiv w:val="1"/>
      <w:marLeft w:val="0"/>
      <w:marRight w:val="0"/>
      <w:marTop w:val="0"/>
      <w:marBottom w:val="0"/>
      <w:divBdr>
        <w:top w:val="none" w:sz="0" w:space="0" w:color="auto"/>
        <w:left w:val="none" w:sz="0" w:space="0" w:color="auto"/>
        <w:bottom w:val="none" w:sz="0" w:space="0" w:color="auto"/>
        <w:right w:val="none" w:sz="0" w:space="0" w:color="auto"/>
      </w:divBdr>
      <w:divsChild>
        <w:div w:id="455219102">
          <w:marLeft w:val="547"/>
          <w:marRight w:val="0"/>
          <w:marTop w:val="0"/>
          <w:marBottom w:val="0"/>
          <w:divBdr>
            <w:top w:val="none" w:sz="0" w:space="0" w:color="auto"/>
            <w:left w:val="none" w:sz="0" w:space="0" w:color="auto"/>
            <w:bottom w:val="none" w:sz="0" w:space="0" w:color="auto"/>
            <w:right w:val="none" w:sz="0" w:space="0" w:color="auto"/>
          </w:divBdr>
        </w:div>
      </w:divsChild>
    </w:div>
    <w:div w:id="1606881192">
      <w:bodyDiv w:val="1"/>
      <w:marLeft w:val="0"/>
      <w:marRight w:val="0"/>
      <w:marTop w:val="0"/>
      <w:marBottom w:val="0"/>
      <w:divBdr>
        <w:top w:val="none" w:sz="0" w:space="0" w:color="auto"/>
        <w:left w:val="none" w:sz="0" w:space="0" w:color="auto"/>
        <w:bottom w:val="none" w:sz="0" w:space="0" w:color="auto"/>
        <w:right w:val="none" w:sz="0" w:space="0" w:color="auto"/>
      </w:divBdr>
    </w:div>
    <w:div w:id="2063556053">
      <w:bodyDiv w:val="1"/>
      <w:marLeft w:val="0"/>
      <w:marRight w:val="0"/>
      <w:marTop w:val="0"/>
      <w:marBottom w:val="0"/>
      <w:divBdr>
        <w:top w:val="none" w:sz="0" w:space="0" w:color="auto"/>
        <w:left w:val="none" w:sz="0" w:space="0" w:color="auto"/>
        <w:bottom w:val="none" w:sz="0" w:space="0" w:color="auto"/>
        <w:right w:val="none" w:sz="0" w:space="0" w:color="auto"/>
      </w:divBdr>
      <w:divsChild>
        <w:div w:id="18960407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398</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Ryan Welch</dc:creator>
  <cp:lastModifiedBy>Ryan Welch</cp:lastModifiedBy>
  <cp:revision>5</cp:revision>
  <cp:lastPrinted>2014-11-05T00:06:00Z</cp:lastPrinted>
  <dcterms:created xsi:type="dcterms:W3CDTF">2014-12-02T23:15:00Z</dcterms:created>
  <dcterms:modified xsi:type="dcterms:W3CDTF">2016-08-04T21:38:00Z</dcterms:modified>
</cp:coreProperties>
</file>